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4"/>
        </w:rPr>
      </w:pPr>
      <w:r>
        <w:rPr/>
        <w:drawing>
          <wp:inline distT="0" distB="0" distL="0" distR="0">
            <wp:extent cx="885825" cy="952500"/>
            <wp:effectExtent l="0" t="0" r="0" b="0"/>
            <wp:docPr id="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Азово-Черноморское территориальное управление </w:t>
        <w:br/>
        <w:t>Федерального агентства по рыболовству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ПАМЯТКА </w:t>
        <w:br/>
        <w:t>РЫБОЛОВАМ ЛЮБИТЕЛЯМ</w:t>
      </w:r>
    </w:p>
    <w:p>
      <w:pPr>
        <w:pStyle w:val="ConsPlusNormal"/>
        <w:ind w:firstLine="539"/>
        <w:jc w:val="center"/>
        <w:rPr>
          <w:sz w:val="10"/>
          <w:szCs w:val="10"/>
        </w:rPr>
      </w:pPr>
      <w:r>
        <w:rPr>
          <w:rFonts w:cs="Times New Roman CYR" w:ascii="Times New Roman CYR" w:hAnsi="Times New Roman CYR"/>
          <w:b/>
          <w:sz w:val="22"/>
        </w:rPr>
        <w:t xml:space="preserve">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</w:t>
        <w:br/>
        <w:t xml:space="preserve">Азово-Черноморского рыбохозяйственного бассейна, утвержденных Приказом Минсельхоза России от 09 января 2020 г. № 1 </w:t>
      </w:r>
      <w:r>
        <w:rPr>
          <w:rFonts w:cs="Times New Roman CYR" w:ascii="Times New Roman CYR" w:hAnsi="Times New Roman CYR"/>
          <w:b/>
        </w:rPr>
        <w:br/>
      </w:r>
    </w:p>
    <w:p>
      <w:pPr>
        <w:pStyle w:val="ConsPlusNormal"/>
        <w:ind w:firstLine="284"/>
        <w:rPr>
          <w:sz w:val="18"/>
          <w:szCs w:val="18"/>
        </w:rPr>
      </w:pPr>
      <w:r>
        <w:rPr>
          <w:sz w:val="18"/>
          <w:szCs w:val="18"/>
        </w:rPr>
        <w:t>13. При осуществлении рыболовства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13.2. гражданам осуществлять добычу (вылов)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внутренних водных путях, используемых для судоходства;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границах рыбоводных участков, предоставленных для осуществления товарной аквакультуры (товарного рыбоводства);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 гражданам: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13.4.1. Иметь на борту судна и плавучих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запрещено.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13.4.7. 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местах, за исключением использования моторных судов и плавучих средств для осуществления рыболовства по разрешениям на добычу (вылов) водных биоресурсов;</w:t>
      </w:r>
    </w:p>
    <w:p>
      <w:pPr>
        <w:pStyle w:val="ConsPlusNormal"/>
        <w:ind w:firstLine="284"/>
        <w:jc w:val="both"/>
        <w:rPr/>
      </w:pPr>
      <w:r>
        <w:rPr>
          <w:sz w:val="18"/>
          <w:szCs w:val="18"/>
        </w:rPr>
        <w:t xml:space="preserve">13.4.8. Использовать маломерные и прогулочные суда в запретный период на водных объектах рыбохозяйственного значения (или их участках), указанных в </w:t>
      </w:r>
      <w:hyperlink w:anchor="P3040" w:tgtFrame="ПЕРЕЧЕНЬ">
        <w:r>
          <w:rPr>
            <w:rStyle w:val="Style"/>
            <w:sz w:val="18"/>
            <w:szCs w:val="18"/>
          </w:rPr>
          <w:t>приложении № 2</w:t>
        </w:r>
      </w:hyperlink>
      <w:r>
        <w:rPr>
          <w:sz w:val="18"/>
          <w:szCs w:val="18"/>
        </w:rPr>
        <w:t xml:space="preserve"> к Правилам рыболовства "Перечень водных объектов рыбохозяйственного значения (или их участков), на которых в запретный период запрещается использование маломерных и прогулочных судов", за исключением несамоходных судов, а также других судов, применяемых для осуществления разрешенной деятельности по рыболовству;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13.4.10. Допускать загрязнение водных объектов рыбохозяйственного значения и ухудшение естественных условий обитания водных биоресурсов;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13.4.11. Портить и разрушать предупреждающие аншлаги и знаки в рыбоохранных зонах водных объектов рыбохозяйственного значения.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 Гражданам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13.5.1. Осуществлять подводную охоту: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местах массового отдыха граждан;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аквалангов и других автономных дыхательных аппаратов;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индивидуальных электронных средств обнаружения водных биоресурсов под водой;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13.5.2. Применять специальные пистолеты и ружья для подводной охоты с: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берега,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борта плавучих средств и взабродку.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13.5.3. При нахождении на водном объекте и в его береговой полосе иметь при себе орудия добычи (вылова) водных биоресурсов, применение которых запрещено.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46. Районы, запретные для добычи (вылова) водных биоресурсов, устанавливаются: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нерестово-рыбоходных (обходных) каналах гидроузлов;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пределах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>
      <w:pPr>
        <w:pStyle w:val="ConsPlusNormal"/>
        <w:ind w:firstLine="284"/>
        <w:jc w:val="both"/>
        <w:rPr/>
      </w:pPr>
      <w:r>
        <w:rPr>
          <w:sz w:val="18"/>
          <w:szCs w:val="18"/>
        </w:rPr>
        <w:t xml:space="preserve">с 15 ноября по 31 марта - на зимовальных ямах, согласно </w:t>
      </w:r>
      <w:hyperlink w:anchor="P2549" w:tgtFrame="ПЕРЕЧЕНЬ">
        <w:r>
          <w:rPr>
            <w:rStyle w:val="Style"/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края, Республик Адыгея и Крым";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каналах нерестово-выростных хозяйств;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Азовском море, Керченском проливе и Таганрогском заливе - на расстоянии более 1,5 км от берега.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 В водных объектах рыбохозяйственного значения Ростовской области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46.1.1. добыча (вылов) всех видов водных биоресурсов:</w:t>
      </w:r>
    </w:p>
    <w:p>
      <w:pPr>
        <w:pStyle w:val="ConsPlusNormal"/>
        <w:ind w:firstLine="284"/>
        <w:jc w:val="both"/>
        <w:rPr/>
      </w:pPr>
      <w:r>
        <w:rPr>
          <w:sz w:val="18"/>
          <w:szCs w:val="18"/>
        </w:rPr>
        <w:t>а) в водных объектах рыбохозяйственного значения Донского запретного пространства (</w:t>
      </w:r>
      <w:hyperlink w:anchor="P3626" w:tgtFrame="КАРТА-СХЕМА ДОНСКОГО ЗАПРЕТНОГО ПРОСТРАНСТВА">
        <w:r>
          <w:rPr>
            <w:rStyle w:val="Style"/>
            <w:sz w:val="18"/>
            <w:szCs w:val="18"/>
          </w:rPr>
          <w:t>приложение № 3</w:t>
        </w:r>
      </w:hyperlink>
      <w:r>
        <w:rPr>
          <w:sz w:val="18"/>
          <w:szCs w:val="18"/>
        </w:rPr>
        <w:t xml:space="preserve"> к Правилам рыболовства "Карта-схема Донского запретного пространства");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в Миусском лимане - от Николаевского моста до моста автомобильной дороги Таганрог - Мариуполь;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в реке Дон: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 Кочетовского гидроузла до пристани "Кочетовская";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 Николаевского и Константиновского гидроузлов до точек, находящихся на расстоянии менее 500 м ниже устьев рыбоходно-нерестовых каналов;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перед впадением сбросного канала (теплого) Новочеркасской ГРЭС на расстоянии менее 500 м по обе стороны канала;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перед устьем реки Маныч на расстоянии менее 500 м по обе стороны от устья;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гирле Каланча - от западной окраины хутора Дугино до ответвления от него гирла Большая Кутерьма;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реках протяженностью до 10 км - с моторных судов и плавучих средств;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на расстоянии менее 500 м от Болотовского водосброса Веселовского водохранилища;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е) на акватории Цимлянского водохранилища, ограниченной следующими координатами*: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ж) в балке Большая Садковка в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з) в балке Малая Садковка в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и) в балке Куцая в Веселовском водохранилище</w:t>
      </w:r>
      <w:r>
        <w:rPr>
          <w:b/>
          <w:sz w:val="18"/>
          <w:szCs w:val="18"/>
        </w:rPr>
        <w:t>*;</w:t>
      </w:r>
      <w:r>
        <w:rPr>
          <w:sz w:val="18"/>
          <w:szCs w:val="18"/>
        </w:rPr>
        <w:t xml:space="preserve"> 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к) в балке Бугинская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л) в акватории Веселовского водохранилища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в том числе залив Балка Соленая;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м) на участке реки Северский Донец от Усть-Быстрянской пристани до Бронницкой переправы,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поплавочной удочкой или донной удочкой с 1 крючком на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46.1.2. добыча (вылов) раков пресноводных в реке Койсуг (от устья до впадения в нее реки Чмутовой).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46.1.3. добыча (вылов) вьюна повсеместно в течение года.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 Запретные для добычи (вылова) водных биоресурсов сроки (периоды):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47.2. С 1 марта по 31 мая: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реке Мокрая Чумбурка - от устья до северо-западной окраины хутора Юшкино;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в Таганрогском заливе от юго-западной окраины села Маргаритово до северо-восточной окраины села Новомаргаритово и вглубь залива на расстоянии менее 1,5 км;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перед гирлом Миусского лимана на расстоянии менее 2,5 км в обе стороны от гирла;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Веселовском водохранилище на следующих участках акватории: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Балка Саговая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Житкова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Тазина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Большая Садковка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Грекова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в притоках реки Северский Донец: реке Кундрючья (от устья до Прохоровской плотины); реке Быстрая (от устья до административной границы поселка Жирнов); реке Калитва (от устья до административной границы поселка Литвиновка);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47.3. С 1 апреля по 31 мая: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реке Аксай с впадающими в нее реками Тузлов, Грушевка и ериком Караич, рекой Черкасской с Махинским лиманом, реке Койсуг;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на расстоянии менее 500 м от автодорожных (относящихся к трассам федерального значения) и железнодорожных мостов, расположенных на всех несудоходных реках Азово-Черноморского рыбохозяйственного бассейна;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47.4. С 1 мая по 1 июня в Цимлянском водохранилище: от плотины Цимлянской ГЭС до железнодорожного моста у железнодорожной станции Ложки,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 (спиннинговая снасть (спиннинг), состоит из удилища и оснащается 1 естественной или искусственной приманкой, оснащенной не более чем 3 крючками (одинарными и (или) двойными и (или) тройными). Дополнительно перед приманкой может ставиться грузило без крючков.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47.7. С 20 апреля по 1 июня - в реке Дон со всеми его притоками, рукавами, протоками и полойными озерами на участке выше устья реки Иловля,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одного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 (спиннинговая снасть (спиннинг) состоит из удилища и оснащается 1 естественной или искусственной приманкой, оснащенной не более чем 3 крючками (одинарными, и (или) двойными и (или) тройными). Дополнительно перед приманкой может ставиться грузило без крючков.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47.9. С 1 сентября по 15 июня - с применением блесен на реке Дон: от водозабора Семикаракорского консервного завода до верхней оконечности острова Раздорского.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47.10. С распадения льда по 30 июня - на реке Маныч - от устья до запретного пространства Усть-Манычского гидроузла.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47.11. С 15 апреля по 15 июня - рыбца.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47.12. С 1 января по 14 июня - рака пресноводного в водных объектах Ростовской области (исключая Цимлянское водохранилище);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1 января по 15 сентября - рака пресноводного в Цимлянском водохранилище;</w:t>
      </w:r>
    </w:p>
    <w:p>
      <w:pPr>
        <w:pStyle w:val="ConsPlusNormal"/>
        <w:ind w:firstLine="284"/>
        <w:jc w:val="both"/>
        <w:rPr/>
      </w:pPr>
      <w:r>
        <w:rPr>
          <w:sz w:val="18"/>
          <w:szCs w:val="18"/>
        </w:rPr>
        <w:t xml:space="preserve">47.13. С 15 ноября по 31 марта - на зимовальных ямах согласно </w:t>
      </w:r>
      <w:hyperlink w:anchor="P2549" w:tgtFrame="ПЕРЕЧЕНЬ">
        <w:r>
          <w:rPr>
            <w:rStyle w:val="Style"/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 и Республики Адыгея".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47.14. С 15 ноября по 31 марта - повсеместно на внутренних водных объектах осуществлять подводную охоту.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47.19. В течение всего года - судака и берша в реке Дон от плотины Цимлянского гидроузла до устья, включая бассейны всех впадающих в этот участок Дона рек (исключая Веселовское и Пролетарское водохранилища на реке Маныч), в Азовском море и в Таганрогском заливе.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47.20. С 1 декабря по 30 апреля - судака и берша в Веселовском и Пролетарском водохранилищах.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15 января по 15 апреля - щуки в водных объектах рыбохозяйственного значения Ростовской области.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47.22. С 15 марта по 30 апреля - судака в водных объектах рыбохозяйственного значения Ростовской области;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47.25. С 15 марта по 30 апреля - тарани и плотвы в Азовском море, Таганрогском заливе, реке Дон ниже плотины Цимлянской ГЭС с притоками (за исключением реки Маныч) и в бассейнах всех впадающих в море степных рек.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48. Запретными для добычи (вылова) видами водных биоресурсов являются: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морские млекопитающие, осетровые виды рыб, черноморский лосось, светлый горбыль, морской петух, самки рака пресноводного, вынашивающие икру и личинок и любые другие водные животные и растения, занесенные в Красную книгу Российской Федерации и красные книги субъектов Российской Федерации в районе действия настоящей главы Правил рыболовства.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 Виды запретных орудий и способов добычи (вылова)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49.1. При любительском рыболовстве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применение: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сетей всех типов;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ловушек всех типов и конструкций, за исключением раколовок, использование которых допускается для добычи раков в пресноводных водных объектах;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пассивных орудий добычи (вылова) на реках, являющихся местом обитания форели;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тралящих и драгирующих орудий добычи (вылова);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отцеживающих и объячеивающих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капканов,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самоловных (красноловных) крючковых снастей;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огнестрельного и пневматического оружия, арбалетов и луков;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</w:t>
      </w:r>
      <w:bookmarkStart w:id="0" w:name="_GoBack"/>
      <w:bookmarkEnd w:id="0"/>
      <w:r>
        <w:rPr>
          <w:sz w:val="18"/>
          <w:szCs w:val="18"/>
        </w:rPr>
        <w:t>орудий добычи (вылова);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осуществлять добычу (вылов)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способом багрения, глушения, гона (в том числе с помощью бряцал и ботания); переметами;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подсветку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троллинг - с применением паруса и (или) мотора с использованием более 2 приманок на 1 судно или плавучее средство;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раколовками более 5 штук у 1 гражданина, каждый из параметров, разрешаемых раколовок (длина, ширина, высота - для многоугольных, высота, диаметр - для конических и цилиндрических) не должны превышать 80 см;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жаберным способом (при использовании жмыхоловок, комбайнов) с количеством одинарных крючков более 1 штуки;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раков пресноводных руками вброд или путем ныряния.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49.2. Гражданам запрещается самостоятельно изымать обнаруженные в водных объектах рыбохозяйственного значения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Примечание: * - координаты границ запретных участков акваторий водных объектов указаны в Правилах рыболовства.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6"/>
          <w:szCs w:val="6"/>
        </w:rPr>
      </w:pPr>
      <w:r>
        <w:rPr>
          <w:rFonts w:cs="Times New Roman"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Для принятия оперативных мер реагирования, в случае выявления фактов незаконной добычи (вылова) водных биологических ресурсов можно обратиться на горячую линию по телефонам: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6"/>
          <w:szCs w:val="6"/>
        </w:rPr>
      </w:pPr>
      <w:r>
        <w:rPr>
          <w:rFonts w:cs="Times New Roman"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  <w:lang w:eastAsia="ru-RU"/>
        </w:rPr>
        <w:t>Единый телефон "Горячей линии рыбоохраны" Управления: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  <w:lang w:eastAsia="ru-RU"/>
        </w:rPr>
        <w:t>8 (863) 299-04-23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  <w:lang w:eastAsia="ru-RU"/>
        </w:rPr>
        <w:t>Телефон круглосуточной "Горячей линии" Управления: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 w:themeColor="text1"/>
          <w:sz w:val="18"/>
          <w:szCs w:val="18"/>
          <w:lang w:eastAsia="ru-RU"/>
        </w:rPr>
        <w:t>8 938 148 44 42</w:t>
      </w:r>
    </w:p>
    <w:sectPr>
      <w:type w:val="nextPage"/>
      <w:pgSz w:orient="landscape" w:w="16838" w:h="11906"/>
      <w:pgMar w:left="284" w:right="284" w:header="0" w:top="284" w:footer="0" w:bottom="426" w:gutter="0"/>
      <w:pgNumType w:fmt="decimal"/>
      <w:cols w:num="3" w:equalWidth="false" w:sep="false">
        <w:col w:w="5265" w:space="316"/>
        <w:col w:w="5107" w:space="316"/>
        <w:col w:w="5265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81630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5c5160"/>
    <w:rPr>
      <w:color w:val="0000FF" w:themeColor="hyperlink"/>
      <w:u w:val="single"/>
    </w:rPr>
  </w:style>
  <w:style w:type="character" w:styleId="St1" w:customStyle="1">
    <w:name w:val="st1"/>
    <w:qFormat/>
    <w:rsid w:val="005c5160"/>
    <w:rPr/>
  </w:style>
  <w:style w:type="character" w:styleId="Style16">
    <w:name w:val="Выделение"/>
    <w:uiPriority w:val="20"/>
    <w:qFormat/>
    <w:rsid w:val="005c5160"/>
    <w:rPr>
      <w:b/>
      <w:bCs/>
      <w:i w:val="false"/>
      <w:iCs w:val="false"/>
    </w:rPr>
  </w:style>
  <w:style w:type="character" w:styleId="Style17" w:customStyle="1">
    <w:name w:val="Основной текст с отступом Знак"/>
    <w:basedOn w:val="DefaultParagraphFont"/>
    <w:link w:val="a7"/>
    <w:uiPriority w:val="99"/>
    <w:qFormat/>
    <w:rsid w:val="005c516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Текст1"/>
    <w:basedOn w:val="Normal"/>
    <w:qFormat/>
    <w:rsid w:val="00a36ffd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816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Body Text Indent"/>
    <w:basedOn w:val="Normal"/>
    <w:link w:val="a8"/>
    <w:uiPriority w:val="99"/>
    <w:unhideWhenUsed/>
    <w:rsid w:val="005c5160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ConsPlusNormal" w:customStyle="1">
    <w:name w:val="ConsPlusNormal"/>
    <w:qFormat/>
    <w:rsid w:val="00d45b3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CC4C-67D4-463D-80DF-12D4F86A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LibreOffice/6.3.6.2$Windows_x86 LibreOffice_project/2196df99b074d8a661f4036fca8fa0cbfa33a497</Application>
  <Pages>2</Pages>
  <Words>1981</Words>
  <Characters>12639</Characters>
  <CharactersWithSpaces>14509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2023-02-14T11:40:00Z</dcterms:created>
  <dc:creator>User</dc:creator>
  <dc:description/>
  <dc:language>ru-RU</dc:language>
  <cp:lastModifiedBy/>
  <cp:lastPrinted>2024-03-14T16:25:20Z</cp:lastPrinted>
  <dcterms:modified xsi:type="dcterms:W3CDTF">2024-03-14T16:26:00Z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